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textAlignment w:val="auto"/>
        <w:rPr>
          <w:rFonts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ascii="Times New Roman" w:hAnsi="Times New Roman" w:eastAsia="黑体" w:cs="Times New Roman"/>
          <w:color w:val="auto"/>
          <w:sz w:val="32"/>
          <w:szCs w:val="32"/>
          <w:highlight w:val="none"/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jc w:val="center"/>
        <w:textAlignment w:val="auto"/>
        <w:rPr>
          <w:rFonts w:ascii="Times New Roman" w:hAnsi="Times New Roman" w:cs="Times New Roman"/>
          <w:color w:val="auto"/>
          <w:highlight w:val="none"/>
        </w:rPr>
      </w:pPr>
      <w:r>
        <w:rPr>
          <w:rFonts w:ascii="Times New Roman" w:hAnsi="Times New Roman" w:eastAsia="方正小标宋简体" w:cs="Times New Roman"/>
          <w:color w:val="auto"/>
          <w:kern w:val="2"/>
          <w:sz w:val="44"/>
          <w:szCs w:val="44"/>
          <w:highlight w:val="none"/>
        </w:rPr>
        <w:t>浙江省供销社202</w:t>
      </w:r>
      <w:r>
        <w:rPr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  <w:highlight w:val="none"/>
          <w:lang w:val="en-US" w:eastAsia="zh-CN"/>
        </w:rPr>
        <w:t>3</w:t>
      </w:r>
      <w:r>
        <w:rPr>
          <w:rFonts w:ascii="Times New Roman" w:hAnsi="Times New Roman" w:eastAsia="方正小标宋简体" w:cs="Times New Roman"/>
          <w:color w:val="auto"/>
          <w:kern w:val="2"/>
          <w:sz w:val="44"/>
          <w:szCs w:val="44"/>
          <w:highlight w:val="none"/>
        </w:rPr>
        <w:t>年度科学研究项目指南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b/>
          <w:bCs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none"/>
        </w:rPr>
        <w:t>重点项目：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省供销社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“十四五”规划实施情况及问题解析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（限期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2023年11月底前完成）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产业视角下供销社带动小农户共同富裕的模式与路径研究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pacing w:val="-17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pacing w:val="-17"/>
          <w:sz w:val="32"/>
          <w:szCs w:val="32"/>
          <w:highlight w:val="none"/>
        </w:rPr>
        <w:t>供销社系统内跨层级、跨区域发展的</w:t>
      </w:r>
      <w:r>
        <w:rPr>
          <w:rFonts w:hint="default" w:ascii="Times New Roman" w:hAnsi="Times New Roman" w:eastAsia="仿宋_GB2312" w:cs="Times New Roman"/>
          <w:color w:val="auto"/>
          <w:spacing w:val="-17"/>
          <w:sz w:val="32"/>
          <w:szCs w:val="32"/>
          <w:highlight w:val="none"/>
          <w:lang w:eastAsia="zh-CN"/>
        </w:rPr>
        <w:t>模式、障碍及建议</w:t>
      </w:r>
      <w:r>
        <w:rPr>
          <w:rFonts w:hint="default" w:ascii="Times New Roman" w:hAnsi="Times New Roman" w:eastAsia="仿宋_GB2312" w:cs="Times New Roman"/>
          <w:color w:val="auto"/>
          <w:spacing w:val="-17"/>
          <w:sz w:val="32"/>
          <w:szCs w:val="32"/>
          <w:highlight w:val="none"/>
        </w:rPr>
        <w:t>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关于农事中心建设与运营的研究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推进绿色农资，发展低碳农业的思考与研究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“供富大篷车”提质扩面的内涵、机制与路径研究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供销社参与全国统一大市场的模式与路径研究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农产品集采集配的困难与对策研究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9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具有供销特色的企业经营管理者队伍建设研究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混合所有制企业如何加强党的建设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数字化融合“三位一体”为农服务体制机制探索与研究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供销社参与乡村产业振兴路径研究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供销社县域人才队伍建设研究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供销社基层组织建设发展路径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全省农产品产供销一体化体系建设研究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区域层级联动的供销社合作经济人才培养模式、机制与路径研究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面向农业强国的供销社农业社会化服务体系构建研究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社属院校助力社有企业高质量发展模式与路径研究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供销社助力“两个先行”的模式、机制与路径研究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村集体经济发展模式与运行机制研究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供销社融入未来乡村建设的实现路径研究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“数商兴农”赋能乡村振兴的动因、机制与路径研究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社属院校发展质量评价研究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社属院校助力乡村振兴模式与路径研究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新型合作经济加快发展的模式与路径研究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  <w:highlight w:val="none"/>
        </w:rPr>
        <w:t>一般项目：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培育新时代供销合作人才队伍研究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供销社参与县域流通服务网络建设的困难与对策研究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农产品流通体系联合合作模式研究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山区26县县域商业体系构建路径研究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社属院校青年学生服务供销系统问题及路径研究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供销社参与县域商业体系建设研究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基层供销社组织体系完善的机制与路径研究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区域性综合农事服务中心社会化服务运营路径研究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乡村振兴背景下浙江非遗小吃的传承与活化研究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数字农合联应用推广的机制与路径研究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供销社农资供给服务体系和农技推广体系联动发展机制与路径研究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茶产业参与帮扶的可持续模式与路径研究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数字劳动背景下社属院校大中小一体化人才培养模式研究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农产品质量安全检测技术研究与应用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社属企业与院校产教深度融合机制研究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农产品网红直播的困难与对策研究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数字赋能农业产业全链路建设研究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乡村振兴视域下的“互联网＋”农业模式研究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农产品流通领域质量安全评估与监管机制研究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社属院校应届毕业生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就业状况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调查与对策研究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基于AIOT与区块链技术的农产品定制化溯源电商平台研究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701" w:right="1417" w:bottom="1701" w:left="1417" w:header="720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